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color w:val="fe2500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e2500"/>
          <w:sz w:val="42"/>
          <w:szCs w:val="42"/>
          <w:rtl w:val="0"/>
          <w:lang w:val="en-US"/>
        </w:rPr>
        <w:t>TRINITY</w:t>
      </w:r>
      <w:r>
        <w:rPr>
          <w:rFonts w:ascii="Trebuchet MS" w:hAnsi="Trebuchet MS"/>
          <w:color w:val="fe2500"/>
          <w:sz w:val="42"/>
          <w:szCs w:val="42"/>
          <w:rtl w:val="0"/>
        </w:rPr>
        <w:t xml:space="preserve"> </w:t>
      </w:r>
    </w:p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color w:val="000000"/>
          <w:sz w:val="24"/>
          <w:szCs w:val="24"/>
          <w:rtl w:val="0"/>
        </w:rPr>
      </w:pPr>
    </w:p>
    <w:p>
      <w:pPr>
        <w:pStyle w:val="Di default"/>
        <w:bidi w:val="0"/>
        <w:spacing w:after="240" w:line="38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È </w:t>
      </w:r>
      <w:r>
        <w:rPr>
          <w:rFonts w:ascii="Trebuchet MS" w:hAnsi="Trebuchet MS"/>
          <w:sz w:val="30"/>
          <w:szCs w:val="30"/>
          <w:rtl w:val="0"/>
          <w:lang w:val="it-IT"/>
        </w:rPr>
        <w:t>un percorso svolto in orario extascolastico per la preparazione agli esami di certificazione Trinity rivolto agli alunni delle classi terze della scuola secondaria.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</w:rPr>
        <w:br w:type="textWrapping"/>
      </w:r>
      <w:r>
        <w:rPr>
          <w:rFonts w:ascii="Trebuchet MS" w:hAnsi="Trebuchet MS"/>
          <w:sz w:val="30"/>
          <w:szCs w:val="30"/>
          <w:rtl w:val="0"/>
          <w:lang w:val="it-IT"/>
        </w:rPr>
        <w:t>La certificazione fornisce agli alunni un credito formativo spendibile all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interno e all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esterno del contesto scolastico in quanto 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attestato di competenza 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è </w:t>
      </w:r>
      <w:r>
        <w:rPr>
          <w:rFonts w:ascii="Trebuchet MS" w:hAnsi="Trebuchet MS"/>
          <w:sz w:val="30"/>
          <w:szCs w:val="30"/>
          <w:rtl w:val="0"/>
          <w:lang w:val="it-IT"/>
        </w:rPr>
        <w:t>riconosciuto a livello internazionale. Inoltre, la certificazione si riferisce ai livelli di competenza indicati nel Quadro Comune Europeo di riferimento, redatto dal Consiglio d</w:t>
      </w:r>
      <w:r>
        <w:rPr>
          <w:rFonts w:ascii="Trebuchet MS" w:hAnsi="Trebuchet MS" w:hint="default"/>
          <w:sz w:val="30"/>
          <w:szCs w:val="30"/>
          <w:rtl w:val="0"/>
        </w:rPr>
        <w:t xml:space="preserve">’ 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Europa. </w:t>
      </w:r>
    </w:p>
    <w:p>
      <w:pPr>
        <w:pStyle w:val="Di default"/>
        <w:bidi w:val="0"/>
        <w:spacing w:after="240" w:line="38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>Gli alunni delle classi quinte della scuola elementare di Palombara Sabina possono partecipare agli esami di certificazione Trinity GESE, Grade I, di cui si allega il programma richiesto dall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esaminatore. Il periodo fissato per gli esami Trinity 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è 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la seconda settimana del mese di maggio 2018. </w:t>
      </w:r>
    </w:p>
    <w:p>
      <w:pPr>
        <w:pStyle w:val="Di default"/>
        <w:bidi w:val="0"/>
        <w:spacing w:after="240" w:line="38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>Verranno organizzati dei corsi pomeridiani di preparazione all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esame Trinity che saranno solo orale, ai livelli 3 e 4- (3 e 4 Grade).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</w:rPr>
        <w:br w:type="textWrapping"/>
      </w:r>
      <w:r>
        <w:rPr>
          <w:rFonts w:ascii="Trebuchet MS" w:hAnsi="Trebuchet MS"/>
          <w:sz w:val="30"/>
          <w:szCs w:val="30"/>
          <w:rtl w:val="0"/>
          <w:lang w:val="it-IT"/>
        </w:rPr>
        <w:t>I corsi pomeridiani si svolgeranno nelle aule della sede centrale dell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Istituto Comprensivo Statale di Palombara Sabina e saranno tenuti dalla Prof.ssa Palazzo Ornella, docente di lingua Inglese dell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Istituto, ogni luned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ì 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a partire dal mese di </w:t>
      </w:r>
      <w:r>
        <w:rPr>
          <w:rFonts w:ascii="Trebuchet MS" w:hAnsi="Trebuchet MS"/>
          <w:sz w:val="30"/>
          <w:szCs w:val="30"/>
          <w:rtl w:val="0"/>
          <w:lang w:val="it-IT"/>
        </w:rPr>
        <w:t>gennaio</w:t>
      </w:r>
      <w:r>
        <w:rPr>
          <w:rFonts w:ascii="Trebuchet MS" w:hAnsi="Trebuchet MS"/>
          <w:sz w:val="30"/>
          <w:szCs w:val="30"/>
          <w:rtl w:val="0"/>
        </w:rPr>
        <w:t xml:space="preserve"> 201</w:t>
      </w:r>
      <w:r>
        <w:rPr>
          <w:rFonts w:ascii="Trebuchet MS" w:hAnsi="Trebuchet MS"/>
          <w:sz w:val="30"/>
          <w:szCs w:val="30"/>
          <w:rtl w:val="0"/>
          <w:lang w:val="it-IT"/>
        </w:rPr>
        <w:t>9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, per un totale di 20 ore. </w:t>
      </w:r>
      <w:r>
        <w:rPr>
          <w:rFonts w:ascii="Trebuchet MS" w:cs="Trebuchet MS" w:hAnsi="Trebuchet MS" w:eastAsia="Trebuchet M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